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2E5258">
        <w:trPr>
          <w:jc w:val="center"/>
        </w:trPr>
        <w:tc>
          <w:tcPr>
            <w:tcW w:w="743" w:type="dxa"/>
          </w:tcPr>
          <w:p w:rsidR="0094424E" w:rsidRPr="002E5258" w:rsidRDefault="00DA4E55">
            <w:pPr>
              <w:jc w:val="both"/>
              <w:rPr>
                <w:rFonts w:ascii="Arial" w:hAnsi="Arial"/>
                <w:b/>
                <w:bCs/>
                <w:sz w:val="26"/>
                <w:szCs w:val="26"/>
              </w:rPr>
            </w:pPr>
            <w:r w:rsidRPr="002E5258">
              <w:rPr>
                <w:rFonts w:ascii="Arial" w:hAnsi="Arial" w:hint="cs"/>
                <w:b/>
                <w:bCs/>
                <w:sz w:val="26"/>
                <w:szCs w:val="26"/>
                <w:rtl/>
              </w:rPr>
              <w:t>ל</w:t>
            </w:r>
            <w:r w:rsidR="0094424E" w:rsidRPr="002E5258">
              <w:rPr>
                <w:rFonts w:ascii="Arial" w:hAnsi="Arial"/>
                <w:b/>
                <w:bCs/>
                <w:sz w:val="26"/>
                <w:szCs w:val="26"/>
                <w:rtl/>
              </w:rPr>
              <w:t xml:space="preserve">פני </w:t>
            </w:r>
          </w:p>
        </w:tc>
        <w:tc>
          <w:tcPr>
            <w:tcW w:w="8077" w:type="dxa"/>
            <w:gridSpan w:val="2"/>
          </w:tcPr>
          <w:p w:rsidR="0094424E" w:rsidRDefault="00A125FF" w:rsidP="009D7E8E">
            <w:pPr>
              <w:rPr>
                <w:rFonts w:ascii="Arial" w:hAnsi="Arial" w:cs="FrankRuehl"/>
                <w:sz w:val="26"/>
                <w:szCs w:val="26"/>
                <w:highlight w:val="yellow"/>
                <w:rtl/>
              </w:rPr>
            </w:pPr>
            <w:r>
              <w:rPr>
                <w:rFonts w:ascii="Arial" w:hAnsi="Arial" w:hint="cs"/>
                <w:b/>
                <w:bCs/>
                <w:sz w:val="26"/>
                <w:szCs w:val="26"/>
                <w:rtl/>
              </w:rPr>
              <w:t xml:space="preserve">כב' השופט </w:t>
            </w:r>
            <w:r w:rsidR="00750A27">
              <w:rPr>
                <w:rFonts w:ascii="Arial" w:hAnsi="Arial" w:hint="cs"/>
                <w:b/>
                <w:bCs/>
                <w:sz w:val="26"/>
                <w:szCs w:val="26"/>
                <w:rtl/>
              </w:rPr>
              <w:t>שאול שוחט</w:t>
            </w:r>
            <w:r>
              <w:rPr>
                <w:rFonts w:ascii="Arial" w:hAnsi="Arial" w:hint="cs"/>
                <w:b/>
                <w:bCs/>
                <w:sz w:val="26"/>
                <w:szCs w:val="26"/>
                <w:rtl/>
              </w:rPr>
              <w:t xml:space="preserve">, סגן </w:t>
            </w:r>
            <w:r w:rsidR="004F14F0" w:rsidRPr="002E5258">
              <w:rPr>
                <w:rFonts w:ascii="Arial" w:hAnsi="Arial" w:hint="cs"/>
                <w:b/>
                <w:bCs/>
                <w:sz w:val="26"/>
                <w:szCs w:val="26"/>
                <w:rtl/>
              </w:rPr>
              <w:t>נשיא</w:t>
            </w:r>
          </w:p>
          <w:p w:rsidR="00E90BA2" w:rsidRPr="002E5258" w:rsidRDefault="00E90BA2" w:rsidP="009D7E8E">
            <w:pPr>
              <w:rPr>
                <w:rFonts w:ascii="Arial" w:hAnsi="Arial" w:cs="FrankRuehl"/>
                <w:sz w:val="26"/>
                <w:szCs w:val="26"/>
                <w:highlight w:val="yellow"/>
              </w:rPr>
            </w:pPr>
          </w:p>
        </w:tc>
      </w:tr>
      <w:tr w:rsidR="0094424E" w:rsidRPr="002E5258">
        <w:trPr>
          <w:jc w:val="center"/>
        </w:trPr>
        <w:tc>
          <w:tcPr>
            <w:tcW w:w="3249" w:type="dxa"/>
            <w:gridSpan w:val="2"/>
          </w:tcPr>
          <w:p w:rsidR="0094424E" w:rsidRPr="002E5258" w:rsidRDefault="0094424E">
            <w:pPr>
              <w:bidi w:val="0"/>
              <w:jc w:val="right"/>
              <w:rPr>
                <w:rFonts w:ascii="Arial" w:hAnsi="Arial"/>
                <w:b/>
                <w:bCs/>
                <w:noProof w:val="0"/>
                <w:sz w:val="26"/>
                <w:szCs w:val="26"/>
              </w:rPr>
            </w:pPr>
          </w:p>
          <w:sdt>
            <w:sdtPr>
              <w:rPr>
                <w:sz w:val="26"/>
                <w:szCs w:val="26"/>
              </w:rPr>
              <w:alias w:val="1180"/>
              <w:tag w:val="1180"/>
              <w:id w:val="637458750"/>
              <w:text w:multiLine="1"/>
            </w:sdtPr>
            <w:sdtEndPr/>
            <w:sdtContent>
              <w:p w:rsidR="00EB61B1" w:rsidRDefault="005F02DE">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Pr="005F02DE" w:rsidRDefault="0094424E">
            <w:pPr>
              <w:rPr>
                <w:rFonts w:ascii="Arial" w:hAnsi="Arial"/>
                <w:b/>
                <w:bCs/>
                <w:noProof w:val="0"/>
                <w:sz w:val="26"/>
                <w:szCs w:val="26"/>
                <w:rtl/>
              </w:rPr>
            </w:pPr>
          </w:p>
          <w:p w:rsidR="00740A8F" w:rsidRPr="005F02DE" w:rsidRDefault="00637636" w:rsidP="005F02DE">
            <w:pPr>
              <w:rPr>
                <w:b/>
                <w:bCs/>
                <w:sz w:val="26"/>
                <w:szCs w:val="26"/>
                <w:rtl/>
              </w:rPr>
            </w:pPr>
            <w:sdt>
              <w:sdtPr>
                <w:rPr>
                  <w:b/>
                  <w:bCs/>
                  <w:sz w:val="26"/>
                  <w:szCs w:val="26"/>
                  <w:rtl/>
                </w:rPr>
                <w:alias w:val="1462"/>
                <w:tag w:val="1462"/>
                <w:id w:val="-2139489462"/>
                <w:text w:multiLine="1"/>
              </w:sdtPr>
              <w:sdtEndPr/>
              <w:sdtContent>
                <w:r w:rsidR="00750A27" w:rsidRPr="005F02DE">
                  <w:rPr>
                    <w:rFonts w:ascii="Arial" w:hAnsi="Arial"/>
                    <w:b/>
                    <w:bCs/>
                    <w:noProof w:val="0"/>
                    <w:sz w:val="26"/>
                    <w:szCs w:val="26"/>
                    <w:rtl/>
                  </w:rPr>
                  <w:t>1</w:t>
                </w:r>
              </w:sdtContent>
            </w:sdt>
            <w:r w:rsidR="0094424E" w:rsidRPr="005F02DE">
              <w:rPr>
                <w:b/>
                <w:bCs/>
                <w:noProof w:val="0"/>
                <w:sz w:val="26"/>
                <w:szCs w:val="26"/>
                <w:rtl/>
              </w:rPr>
              <w:t>.</w:t>
            </w:r>
            <w:r w:rsidR="0094424E" w:rsidRPr="005F02DE">
              <w:rPr>
                <w:rFonts w:hint="cs"/>
                <w:b/>
                <w:bCs/>
                <w:noProof w:val="0"/>
                <w:sz w:val="26"/>
                <w:szCs w:val="26"/>
                <w:rtl/>
              </w:rPr>
              <w:t xml:space="preserve"> </w:t>
            </w:r>
            <w:sdt>
              <w:sdtPr>
                <w:rPr>
                  <w:b/>
                  <w:bCs/>
                  <w:sz w:val="26"/>
                  <w:szCs w:val="26"/>
                  <w:rtl/>
                </w:rPr>
                <w:alias w:val="1478"/>
                <w:tag w:val="1478"/>
                <w:id w:val="-2076122985"/>
                <w:text w:multiLine="1"/>
              </w:sdtPr>
              <w:sdtEndPr/>
              <w:sdtContent>
                <w:r w:rsidR="005F02DE" w:rsidRPr="005F02DE">
                  <w:rPr>
                    <w:rFonts w:hint="cs"/>
                    <w:b/>
                    <w:bCs/>
                    <w:sz w:val="26"/>
                    <w:szCs w:val="26"/>
                    <w:rtl/>
                  </w:rPr>
                  <w:t>פלונית</w:t>
                </w:r>
              </w:sdtContent>
            </w:sdt>
          </w:p>
          <w:p w:rsidR="00740A8F" w:rsidRDefault="00637636" w:rsidP="005F02DE">
            <w:pPr>
              <w:rPr>
                <w:sz w:val="26"/>
                <w:szCs w:val="26"/>
                <w:rtl/>
              </w:rPr>
            </w:pPr>
            <w:sdt>
              <w:sdtPr>
                <w:rPr>
                  <w:sz w:val="26"/>
                  <w:szCs w:val="26"/>
                  <w:rtl/>
                </w:rPr>
                <w:alias w:val="1462"/>
                <w:tag w:val="1462"/>
                <w:id w:val="655882596"/>
                <w:text w:multiLine="1"/>
              </w:sdtPr>
              <w:sdtEndPr/>
              <w:sdtContent>
                <w:r w:rsidR="00750A27">
                  <w:rPr>
                    <w:rFonts w:ascii="Arial" w:hAnsi="Arial"/>
                    <w:b/>
                    <w:bCs/>
                    <w:noProof w:val="0"/>
                    <w:sz w:val="26"/>
                    <w:szCs w:val="26"/>
                    <w:rtl/>
                  </w:rPr>
                  <w:t>2</w:t>
                </w:r>
              </w:sdtContent>
            </w:sdt>
            <w:r w:rsidR="0094424E" w:rsidRPr="002E5258">
              <w:rPr>
                <w:b/>
                <w:bCs/>
                <w:noProof w:val="0"/>
                <w:sz w:val="26"/>
                <w:szCs w:val="26"/>
                <w:rtl/>
              </w:rPr>
              <w:t>.</w:t>
            </w:r>
            <w:r w:rsidR="0094424E" w:rsidRPr="002E5258">
              <w:rPr>
                <w:rFonts w:hint="cs"/>
                <w:b/>
                <w:bCs/>
                <w:noProof w:val="0"/>
                <w:sz w:val="26"/>
                <w:szCs w:val="26"/>
                <w:rtl/>
              </w:rPr>
              <w:t xml:space="preserve"> </w:t>
            </w:r>
            <w:sdt>
              <w:sdtPr>
                <w:rPr>
                  <w:sz w:val="26"/>
                  <w:szCs w:val="26"/>
                  <w:rtl/>
                </w:rPr>
                <w:alias w:val="1478"/>
                <w:tag w:val="1478"/>
                <w:id w:val="300195942"/>
                <w:text w:multiLine="1"/>
              </w:sdtPr>
              <w:sdtEndPr/>
              <w:sdtContent>
                <w:r w:rsidR="005F02DE">
                  <w:rPr>
                    <w:rFonts w:ascii="Arial" w:hAnsi="Arial" w:hint="cs"/>
                    <w:b/>
                    <w:bCs/>
                    <w:noProof w:val="0"/>
                    <w:sz w:val="26"/>
                    <w:szCs w:val="26"/>
                    <w:rtl/>
                  </w:rPr>
                  <w:t>אלמונית</w:t>
                </w:r>
              </w:sdtContent>
            </w:sdt>
          </w:p>
          <w:p w:rsidR="0094424E" w:rsidRPr="002E5258" w:rsidRDefault="005F02DE">
            <w:pPr>
              <w:rPr>
                <w:b/>
                <w:bCs/>
                <w:noProof w:val="0"/>
                <w:sz w:val="26"/>
                <w:szCs w:val="26"/>
              </w:rPr>
            </w:pPr>
            <w:r>
              <w:rPr>
                <w:rFonts w:hint="cs"/>
                <w:sz w:val="26"/>
                <w:szCs w:val="26"/>
                <w:rtl/>
              </w:rPr>
              <w:t>ע"י ב"כ עו"ד זאב ולנר</w:t>
            </w:r>
          </w:p>
        </w:tc>
      </w:tr>
      <w:tr w:rsidR="0094424E" w:rsidRPr="002E5258">
        <w:trPr>
          <w:jc w:val="center"/>
        </w:trPr>
        <w:tc>
          <w:tcPr>
            <w:tcW w:w="8820" w:type="dxa"/>
            <w:gridSpan w:val="3"/>
          </w:tcPr>
          <w:p w:rsidR="0094424E" w:rsidRPr="005F02DE" w:rsidRDefault="0094424E">
            <w:pPr>
              <w:rPr>
                <w:rFonts w:ascii="Arial" w:hAnsi="Arial"/>
                <w:b/>
                <w:bCs/>
                <w:noProof w:val="0"/>
                <w:sz w:val="26"/>
                <w:szCs w:val="26"/>
                <w:rtl/>
              </w:rPr>
            </w:pPr>
          </w:p>
          <w:p w:rsidR="0094424E" w:rsidRPr="002E5258" w:rsidRDefault="0094424E">
            <w:pPr>
              <w:jc w:val="center"/>
              <w:rPr>
                <w:rFonts w:ascii="Arial" w:hAnsi="Arial"/>
                <w:b/>
                <w:bCs/>
                <w:noProof w:val="0"/>
                <w:sz w:val="26"/>
                <w:szCs w:val="26"/>
                <w:rtl/>
              </w:rPr>
            </w:pPr>
            <w:r w:rsidRPr="002E5258">
              <w:rPr>
                <w:rFonts w:ascii="Arial" w:hAnsi="Arial"/>
                <w:b/>
                <w:bCs/>
                <w:noProof w:val="0"/>
                <w:sz w:val="26"/>
                <w:szCs w:val="26"/>
                <w:rtl/>
              </w:rPr>
              <w:t>נגד</w:t>
            </w:r>
          </w:p>
          <w:p w:rsidR="0094424E" w:rsidRPr="002E5258" w:rsidRDefault="0094424E">
            <w:pPr>
              <w:rPr>
                <w:rFonts w:ascii="Arial" w:hAnsi="Arial"/>
                <w:b/>
                <w:bCs/>
                <w:noProof w:val="0"/>
                <w:sz w:val="26"/>
                <w:szCs w:val="26"/>
              </w:rPr>
            </w:pPr>
          </w:p>
        </w:tc>
      </w:tr>
      <w:tr w:rsidR="0094424E" w:rsidRPr="002E5258">
        <w:trPr>
          <w:jc w:val="center"/>
        </w:trPr>
        <w:tc>
          <w:tcPr>
            <w:tcW w:w="3249" w:type="dxa"/>
            <w:gridSpan w:val="2"/>
          </w:tcPr>
          <w:p w:rsidR="0094424E" w:rsidRPr="002E5258" w:rsidRDefault="0094424E">
            <w:pPr>
              <w:rPr>
                <w:rFonts w:ascii="Arial" w:hAnsi="Arial"/>
                <w:b/>
                <w:bCs/>
                <w:noProof w:val="0"/>
                <w:sz w:val="26"/>
                <w:szCs w:val="26"/>
                <w:rtl/>
              </w:rPr>
            </w:pPr>
          </w:p>
          <w:p w:rsidR="0094424E" w:rsidRPr="002E5258" w:rsidRDefault="00637636">
            <w:pPr>
              <w:rPr>
                <w:rFonts w:ascii="Arial" w:hAnsi="Arial"/>
                <w:b/>
                <w:bCs/>
                <w:noProof w:val="0"/>
                <w:sz w:val="26"/>
                <w:szCs w:val="26"/>
              </w:rPr>
            </w:pPr>
            <w:sdt>
              <w:sdtPr>
                <w:rPr>
                  <w:sz w:val="26"/>
                  <w:szCs w:val="26"/>
                  <w:rtl/>
                </w:rPr>
                <w:alias w:val="1184"/>
                <w:tag w:val="1184"/>
                <w:id w:val="-340621022"/>
                <w:text w:multiLine="1"/>
              </w:sdtPr>
              <w:sdtEndPr/>
              <w:sdtContent>
                <w:r w:rsidR="00750A27">
                  <w:rPr>
                    <w:rFonts w:ascii="Arial" w:hAnsi="Arial"/>
                    <w:b/>
                    <w:bCs/>
                    <w:noProof w:val="0"/>
                    <w:sz w:val="26"/>
                    <w:szCs w:val="26"/>
                    <w:rtl/>
                  </w:rPr>
                  <w:t>משיבים</w:t>
                </w:r>
              </w:sdtContent>
            </w:sdt>
          </w:p>
        </w:tc>
        <w:tc>
          <w:tcPr>
            <w:tcW w:w="5571" w:type="dxa"/>
          </w:tcPr>
          <w:p w:rsidR="0094424E" w:rsidRPr="002E5258" w:rsidRDefault="0094424E">
            <w:pPr>
              <w:rPr>
                <w:rFonts w:ascii="Arial" w:hAnsi="Arial"/>
                <w:b/>
                <w:bCs/>
                <w:noProof w:val="0"/>
                <w:sz w:val="26"/>
                <w:szCs w:val="26"/>
                <w:rtl/>
              </w:rPr>
            </w:pPr>
          </w:p>
          <w:p w:rsidR="00740A8F" w:rsidRDefault="00637636">
            <w:pPr>
              <w:rPr>
                <w:sz w:val="26"/>
                <w:szCs w:val="26"/>
                <w:rtl/>
              </w:rPr>
            </w:pPr>
            <w:sdt>
              <w:sdtPr>
                <w:rPr>
                  <w:sz w:val="26"/>
                  <w:szCs w:val="26"/>
                  <w:rtl/>
                </w:rPr>
                <w:alias w:val="1486"/>
                <w:tag w:val="1486"/>
                <w:id w:val="-309872140"/>
                <w:text w:multiLine="1"/>
              </w:sdtPr>
              <w:sdtEndPr/>
              <w:sdtContent>
                <w:r w:rsidR="005F02DE">
                  <w:rPr>
                    <w:rFonts w:ascii="Arial" w:hAnsi="Arial" w:hint="cs"/>
                    <w:b/>
                    <w:bCs/>
                    <w:noProof w:val="0"/>
                    <w:sz w:val="26"/>
                    <w:szCs w:val="26"/>
                    <w:rtl/>
                  </w:rPr>
                  <w:t>פלוני</w:t>
                </w:r>
              </w:sdtContent>
            </w:sdt>
          </w:p>
          <w:p w:rsidR="0094424E" w:rsidRPr="002E5258" w:rsidRDefault="00740A8F">
            <w:pPr>
              <w:rPr>
                <w:b/>
                <w:bCs/>
                <w:noProof w:val="0"/>
                <w:sz w:val="26"/>
                <w:szCs w:val="26"/>
                <w:rtl/>
              </w:rPr>
            </w:pPr>
            <w:r>
              <w:rPr>
                <w:rFonts w:hint="cs"/>
                <w:sz w:val="26"/>
                <w:szCs w:val="26"/>
                <w:rtl/>
              </w:rPr>
              <w:t xml:space="preserve">ע"י ב"כ </w:t>
            </w:r>
            <w:r w:rsidR="005F02DE">
              <w:rPr>
                <w:rFonts w:hint="cs"/>
                <w:sz w:val="26"/>
                <w:szCs w:val="26"/>
                <w:rtl/>
              </w:rPr>
              <w:t>עו"ד בועז קראוס</w:t>
            </w:r>
          </w:p>
        </w:tc>
      </w:tr>
    </w:tbl>
    <w:p w:rsidR="0094424E" w:rsidRDefault="0094424E" w:rsidP="0094424E">
      <w:pPr>
        <w:rPr>
          <w:rtl/>
        </w:rPr>
      </w:pPr>
    </w:p>
    <w:p w:rsidR="0094424E" w:rsidRDefault="0094424E">
      <w:pPr>
        <w:rPr>
          <w:rtl/>
        </w:rPr>
      </w:pPr>
    </w:p>
    <w:p w:rsidR="0094424E" w:rsidRDefault="0094424E"/>
    <w:p w:rsidR="00E31C2B" w:rsidRPr="00E31C2B" w:rsidRDefault="00E31C2B" w:rsidP="006D3B31">
      <w:pPr>
        <w:suppressLineNumbers/>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5F02DE" w:rsidRDefault="005F02DE" w:rsidP="005F02DE">
      <w:pPr>
        <w:spacing w:line="360" w:lineRule="auto"/>
        <w:jc w:val="both"/>
        <w:rPr>
          <w:rFonts w:ascii="David" w:hAnsi="David"/>
          <w:rtl/>
        </w:rPr>
      </w:pPr>
    </w:p>
    <w:p w:rsidR="005F02DE" w:rsidRDefault="005F02DE" w:rsidP="005F02DE">
      <w:pPr>
        <w:spacing w:line="360" w:lineRule="auto"/>
        <w:jc w:val="both"/>
        <w:rPr>
          <w:rFonts w:ascii="David" w:hAnsi="David"/>
          <w:rtl/>
        </w:rPr>
      </w:pPr>
      <w:r>
        <w:rPr>
          <w:rFonts w:ascii="David" w:hAnsi="David"/>
          <w:rtl/>
        </w:rPr>
        <w:t>בקשת רשות ערעור על החלטת בית המשפט לענייני משפחה במחוז תל-אביב (כב' השופט ליאור ברינגר, בת"ע 48742-01-19), מיום 5.2.23, שדחתה</w:t>
      </w:r>
      <w:r w:rsidR="00047973">
        <w:rPr>
          <w:rFonts w:ascii="David" w:hAnsi="David" w:hint="cs"/>
          <w:rtl/>
        </w:rPr>
        <w:t xml:space="preserve"> את</w:t>
      </w:r>
      <w:r>
        <w:rPr>
          <w:rFonts w:ascii="David" w:hAnsi="David"/>
          <w:rtl/>
        </w:rPr>
        <w:t xml:space="preserve"> התנגדות המבקשות להזמנת עדים מטעם המשיב.</w:t>
      </w:r>
    </w:p>
    <w:p w:rsidR="005F02DE" w:rsidRDefault="005F02DE" w:rsidP="005F02DE">
      <w:pPr>
        <w:spacing w:line="360" w:lineRule="auto"/>
        <w:jc w:val="both"/>
        <w:rPr>
          <w:rFonts w:ascii="David" w:hAnsi="David"/>
          <w:rtl/>
        </w:rPr>
      </w:pPr>
    </w:p>
    <w:p w:rsidR="005F02DE" w:rsidRDefault="005F02DE" w:rsidP="005F02DE">
      <w:pPr>
        <w:spacing w:line="360" w:lineRule="auto"/>
        <w:jc w:val="both"/>
        <w:rPr>
          <w:rFonts w:ascii="David" w:hAnsi="David"/>
          <w:b/>
          <w:bCs/>
          <w:u w:val="single"/>
          <w:rtl/>
        </w:rPr>
      </w:pPr>
      <w:r>
        <w:rPr>
          <w:rFonts w:ascii="David" w:hAnsi="David"/>
          <w:b/>
          <w:bCs/>
          <w:u w:val="single"/>
          <w:rtl/>
        </w:rPr>
        <w:t>העובדות הצריכות לעניין</w:t>
      </w:r>
    </w:p>
    <w:p w:rsidR="005F02DE" w:rsidRDefault="005F02DE" w:rsidP="005F02DE">
      <w:pPr>
        <w:spacing w:line="360" w:lineRule="auto"/>
        <w:jc w:val="both"/>
        <w:rPr>
          <w:rFonts w:ascii="David" w:hAnsi="David"/>
          <w:rtl/>
        </w:rPr>
      </w:pPr>
    </w:p>
    <w:p w:rsidR="005F02DE" w:rsidRDefault="005F02DE" w:rsidP="005F02DE">
      <w:pPr>
        <w:spacing w:line="360" w:lineRule="auto"/>
        <w:jc w:val="both"/>
        <w:rPr>
          <w:rFonts w:ascii="David" w:hAnsi="David"/>
          <w:rtl/>
        </w:rPr>
      </w:pPr>
      <w:r>
        <w:rPr>
          <w:rFonts w:ascii="David" w:hAnsi="David"/>
          <w:rtl/>
        </w:rPr>
        <w:t xml:space="preserve">ביום 3.1.2019 הלכה גב' י.מ.ג לבית עולמה (להלן: </w:t>
      </w:r>
      <w:r>
        <w:rPr>
          <w:rFonts w:ascii="David" w:hAnsi="David"/>
          <w:b/>
          <w:bCs/>
          <w:rtl/>
        </w:rPr>
        <w:t>המנוחה</w:t>
      </w:r>
      <w:r>
        <w:rPr>
          <w:rFonts w:ascii="David" w:hAnsi="David"/>
          <w:rtl/>
        </w:rPr>
        <w:t>).</w:t>
      </w:r>
    </w:p>
    <w:p w:rsidR="005F02DE" w:rsidRDefault="005F02DE" w:rsidP="005F02DE">
      <w:pPr>
        <w:spacing w:line="360" w:lineRule="auto"/>
        <w:jc w:val="both"/>
        <w:rPr>
          <w:rFonts w:ascii="David" w:hAnsi="David"/>
          <w:rtl/>
        </w:rPr>
      </w:pPr>
    </w:p>
    <w:p w:rsidR="005F02DE" w:rsidRDefault="005F02DE" w:rsidP="005F02DE">
      <w:pPr>
        <w:spacing w:line="360" w:lineRule="auto"/>
        <w:jc w:val="both"/>
        <w:rPr>
          <w:rFonts w:ascii="David" w:hAnsi="David"/>
          <w:rtl/>
        </w:rPr>
      </w:pPr>
      <w:r>
        <w:rPr>
          <w:rFonts w:ascii="David" w:hAnsi="David"/>
          <w:rtl/>
        </w:rPr>
        <w:t>המבקשות הן בנותיה היחידות של המנוחה. המשיב הוא אחיינה.</w:t>
      </w:r>
    </w:p>
    <w:p w:rsidR="005F02DE" w:rsidRDefault="005F02DE" w:rsidP="005F02DE">
      <w:pPr>
        <w:spacing w:line="360" w:lineRule="auto"/>
        <w:jc w:val="both"/>
        <w:rPr>
          <w:rFonts w:ascii="David" w:hAnsi="David"/>
          <w:rtl/>
        </w:rPr>
      </w:pPr>
    </w:p>
    <w:p w:rsidR="005F02DE" w:rsidRDefault="005F02DE" w:rsidP="005F02DE">
      <w:pPr>
        <w:spacing w:line="360" w:lineRule="auto"/>
        <w:jc w:val="both"/>
        <w:rPr>
          <w:rFonts w:ascii="David" w:hAnsi="David"/>
          <w:rtl/>
        </w:rPr>
      </w:pPr>
      <w:r>
        <w:rPr>
          <w:rFonts w:ascii="David" w:hAnsi="David"/>
          <w:rtl/>
        </w:rPr>
        <w:t xml:space="preserve">בין השנים 2016 – 2018 התנהלו בערכאות שונות הליכים בעניין מינוי אפוטרופוס לגוף ולרכוש המנוחה: ביום 31.3.2016 הגישו המבקשות תביעה לביהמ"ש קמא (כב' השופטת גליק) להורות על מינוין כאפוטרופסיות לגופה ולרכושה של המנוחה, הואיל ולטענתן היא סובלת מירידה קוגנטיבית ואינה מסוגלת לקבלת החלטות הקשורות לגופה ולרכושה ועל כן קיים חשש כי המשיב אשר לווה ממנה מיליוני ₪, ינצל את מצבה לרעה ( א"פ 68383-03-16) . ביום 13.8.17 ניתן ע"י השופטת גליק </w:t>
      </w:r>
      <w:r>
        <w:rPr>
          <w:rFonts w:ascii="David" w:hAnsi="David"/>
          <w:rtl/>
        </w:rPr>
        <w:lastRenderedPageBreak/>
        <w:t xml:space="preserve">פס"ד המורה על מינוי אפוטרופוס מקצועי וניטרלי למנוחה תוך שנקבע כי הוכחה התקיימות תנאי סעיף 33(א)(4) לחוק הכשרות המשפטית והאפוטרופסות, תשכ"ב-1962 (להלן: </w:t>
      </w:r>
      <w:r>
        <w:rPr>
          <w:rFonts w:ascii="David" w:hAnsi="David"/>
          <w:b/>
          <w:bCs/>
          <w:rtl/>
        </w:rPr>
        <w:t>חוק הכשרות</w:t>
      </w:r>
      <w:r>
        <w:rPr>
          <w:rFonts w:ascii="David" w:hAnsi="David"/>
          <w:rtl/>
        </w:rPr>
        <w:t>). ערעור שהגישה המנוחה על פס"ד נדחה ביום 15.4.2018  ע"י בית משפט זה ( הרכב בראשות כב' השופט ורדי, בעמ"ש 51527-09-17). ביום 13.8.2018 נדחתה גם בקשת רשות ערעור אותה הגישה המנוחה על פסק-דינו של ביהמ"ש המחוזי ( בע"מ 5077/18).</w:t>
      </w:r>
    </w:p>
    <w:p w:rsidR="005F02DE" w:rsidRDefault="005F02DE" w:rsidP="005F02DE">
      <w:pPr>
        <w:spacing w:line="360" w:lineRule="auto"/>
        <w:jc w:val="both"/>
        <w:rPr>
          <w:rFonts w:ascii="David" w:hAnsi="David"/>
          <w:rtl/>
        </w:rPr>
      </w:pPr>
    </w:p>
    <w:p w:rsidR="005F02DE" w:rsidRDefault="005F02DE" w:rsidP="00A84F27">
      <w:pPr>
        <w:spacing w:line="360" w:lineRule="auto"/>
        <w:jc w:val="both"/>
        <w:rPr>
          <w:rFonts w:ascii="David" w:hAnsi="David"/>
          <w:rtl/>
        </w:rPr>
      </w:pPr>
      <w:r>
        <w:rPr>
          <w:rFonts w:ascii="David" w:hAnsi="David"/>
          <w:rtl/>
        </w:rPr>
        <w:t xml:space="preserve">לאחר פטירת המנוחה הגיש המשיב </w:t>
      </w:r>
      <w:r w:rsidR="00047973">
        <w:rPr>
          <w:rFonts w:ascii="David" w:hAnsi="David" w:hint="cs"/>
          <w:rtl/>
        </w:rPr>
        <w:t xml:space="preserve">בקשה </w:t>
      </w:r>
      <w:r>
        <w:rPr>
          <w:rFonts w:ascii="David" w:hAnsi="David"/>
          <w:rtl/>
        </w:rPr>
        <w:t xml:space="preserve">לקיום את צוואתה האחרונה, צוואה משנת 2017, </w:t>
      </w:r>
      <w:r w:rsidR="00A84F27">
        <w:rPr>
          <w:rFonts w:ascii="David" w:hAnsi="David" w:hint="cs"/>
          <w:rtl/>
        </w:rPr>
        <w:t>לפיה הוא הזוכה בעיזבונה.</w:t>
      </w:r>
      <w:r>
        <w:rPr>
          <w:rFonts w:ascii="David" w:hAnsi="David"/>
          <w:rtl/>
        </w:rPr>
        <w:t xml:space="preserve"> המבקשות הגישו התנגדות לבקשת המשיב לקיום הצוואה. הבקשה לקיום הצוואה וההתנגדות לה נדונים כיום לפני ביהמ"ש קמא.</w:t>
      </w:r>
    </w:p>
    <w:p w:rsidR="005F02DE" w:rsidRDefault="005F02DE" w:rsidP="005F02DE">
      <w:pPr>
        <w:spacing w:line="360" w:lineRule="auto"/>
        <w:jc w:val="both"/>
        <w:rPr>
          <w:rFonts w:ascii="David" w:hAnsi="David"/>
          <w:rtl/>
        </w:rPr>
      </w:pPr>
    </w:p>
    <w:p w:rsidR="005F02DE" w:rsidRDefault="005F02DE" w:rsidP="005F02DE">
      <w:pPr>
        <w:spacing w:line="360" w:lineRule="auto"/>
        <w:jc w:val="both"/>
        <w:rPr>
          <w:rFonts w:ascii="David" w:hAnsi="David"/>
          <w:rtl/>
        </w:rPr>
      </w:pPr>
      <w:r>
        <w:rPr>
          <w:rFonts w:ascii="David" w:hAnsi="David"/>
          <w:rtl/>
        </w:rPr>
        <w:t>בחודש אוקטובר 2020 הגיש המבקש את רשימת עדיו ובאותו החודש החל הליך ההוכחות (דיון הוכחות ראשון התקיים ביום 25.10.20). אף נכון לכתיבת שורות אלו מצויים ההליכים הנוגעים לקיום הצוואה וההתנגדות לה בשלב ההוכחות (מעיון במערכת נט המשפט עולה כי דיון אחרון התקיים ביום 7.12.22 וההליכים קבועים להמשך הוכחות ליום 18.4.23).</w:t>
      </w:r>
    </w:p>
    <w:p w:rsidR="005F02DE" w:rsidRDefault="005F02DE" w:rsidP="005F02DE">
      <w:pPr>
        <w:spacing w:line="360" w:lineRule="auto"/>
        <w:jc w:val="both"/>
        <w:rPr>
          <w:rFonts w:ascii="David" w:hAnsi="David"/>
          <w:rtl/>
        </w:rPr>
      </w:pPr>
    </w:p>
    <w:p w:rsidR="005F02DE" w:rsidRDefault="005F02DE" w:rsidP="005F02DE">
      <w:pPr>
        <w:spacing w:line="360" w:lineRule="auto"/>
        <w:jc w:val="both"/>
        <w:rPr>
          <w:rFonts w:ascii="David" w:hAnsi="David"/>
          <w:rtl/>
        </w:rPr>
      </w:pPr>
      <w:r>
        <w:rPr>
          <w:rFonts w:ascii="David" w:hAnsi="David"/>
          <w:rtl/>
        </w:rPr>
        <w:t>ביום 21.11.22 הגיש המשיב הודעה בנוגע לסדר שמיעת העדים מטעמו בימי הוכחות הקבועים ובקשה להורות למזכירות ביהמ"ש להפיק זימונים לעדים לאותם המועדים.</w:t>
      </w:r>
    </w:p>
    <w:p w:rsidR="005F02DE" w:rsidRDefault="005F02DE" w:rsidP="005F02DE">
      <w:pPr>
        <w:spacing w:line="360" w:lineRule="auto"/>
        <w:jc w:val="both"/>
        <w:rPr>
          <w:rFonts w:ascii="David" w:hAnsi="David"/>
          <w:rtl/>
        </w:rPr>
      </w:pPr>
    </w:p>
    <w:p w:rsidR="005F02DE" w:rsidRDefault="005F02DE" w:rsidP="00A84F27">
      <w:pPr>
        <w:spacing w:line="360" w:lineRule="auto"/>
        <w:jc w:val="both"/>
        <w:rPr>
          <w:rFonts w:ascii="David" w:hAnsi="David"/>
          <w:b/>
          <w:bCs/>
          <w:rtl/>
        </w:rPr>
      </w:pPr>
      <w:r>
        <w:rPr>
          <w:rFonts w:ascii="David" w:hAnsi="David"/>
          <w:rtl/>
        </w:rPr>
        <w:t>המבקשות עתרו לדחיית בקשת המשיב לזימון העדים. בבקשה נטען כי בכוונת המשיב, באמצעות זימון אותם עדים וחקירתם, "</w:t>
      </w:r>
      <w:r>
        <w:rPr>
          <w:rFonts w:ascii="David" w:hAnsi="David"/>
          <w:b/>
          <w:bCs/>
          <w:rtl/>
        </w:rPr>
        <w:t>להפריך ו/או לשנות ו/או להטיל ספק במסקנות עובדתיות ומשפטיות שאליהן הגיעו בתי המשפט בישראל בשלוש ערכאות לגבי מצבה הפיזי, מנטלי, קוגנטיבי, כשירותי, השפעה לגבי המנוחה".</w:t>
      </w:r>
    </w:p>
    <w:p w:rsidR="005F02DE" w:rsidRDefault="005F02DE" w:rsidP="005F02DE">
      <w:pPr>
        <w:spacing w:line="360" w:lineRule="auto"/>
        <w:jc w:val="both"/>
        <w:rPr>
          <w:rFonts w:ascii="David" w:hAnsi="David"/>
          <w:rtl/>
        </w:rPr>
      </w:pPr>
    </w:p>
    <w:p w:rsidR="005F02DE" w:rsidRDefault="005F02DE" w:rsidP="005F02DE">
      <w:pPr>
        <w:spacing w:line="360" w:lineRule="auto"/>
        <w:jc w:val="both"/>
        <w:rPr>
          <w:rFonts w:ascii="David" w:hAnsi="David"/>
          <w:b/>
          <w:bCs/>
          <w:rtl/>
        </w:rPr>
      </w:pPr>
      <w:r>
        <w:rPr>
          <w:rFonts w:ascii="David" w:hAnsi="David"/>
          <w:rtl/>
        </w:rPr>
        <w:t>ביום 5.2.23, לאחר קבלת התייחסות המשיב, דחה ביהמ"ש קמא את התנגדות המבקשות לזימון העדים מטעם המשיב. במסגרת ההחלטה קבע ביהמ"ש קמא כי גם אם מי מהעדים שזימונם התבקש העידו במסגרת הליכי האפוטרופסות שנוהלו בחיי המנוחה, עדותם נשמעה ב"</w:t>
      </w:r>
      <w:r>
        <w:rPr>
          <w:rFonts w:ascii="David" w:hAnsi="David"/>
          <w:b/>
          <w:bCs/>
          <w:rtl/>
        </w:rPr>
        <w:t>בתיקים אחרים ולא בתיק שלפניי, לפיכך בשל ברור האמת אני מאשר את זימונם של העדים כפוף להפקדת שכר טרחתם".</w:t>
      </w:r>
    </w:p>
    <w:p w:rsidR="005F02DE" w:rsidRDefault="005F02DE" w:rsidP="005F02DE">
      <w:pPr>
        <w:spacing w:line="360" w:lineRule="auto"/>
        <w:jc w:val="both"/>
        <w:rPr>
          <w:rFonts w:ascii="David" w:hAnsi="David"/>
          <w:rtl/>
        </w:rPr>
      </w:pPr>
    </w:p>
    <w:p w:rsidR="005F02DE" w:rsidRDefault="005F02DE" w:rsidP="005F02DE">
      <w:pPr>
        <w:spacing w:line="360" w:lineRule="auto"/>
        <w:jc w:val="both"/>
        <w:rPr>
          <w:rFonts w:ascii="David" w:hAnsi="David"/>
          <w:b/>
          <w:bCs/>
          <w:rtl/>
        </w:rPr>
      </w:pPr>
      <w:r>
        <w:rPr>
          <w:rFonts w:ascii="David" w:hAnsi="David"/>
          <w:rtl/>
        </w:rPr>
        <w:lastRenderedPageBreak/>
        <w:t>על החלטה זו מלינות המבקשות במסגרת בקשת רשות הערעור שלפניי. המבקשות חוזרות בבקשת רשות הערעור שלפניי על טעמי התנגדותן לזימון העדים. לטענת המבקשות ביהמ"ש קמא התעלם מטענת "השתק הפלוגתא" שהעלו ואישר זימון 15 עדים מטעם המשיב שהוזמנו על-ידי המשיב "</w:t>
      </w:r>
      <w:r>
        <w:rPr>
          <w:rFonts w:ascii="David" w:hAnsi="David"/>
          <w:b/>
          <w:bCs/>
          <w:rtl/>
        </w:rPr>
        <w:t>רובם במטרה להזים ולהפוך על פיהן את מסקנות ביהמ"ש לענייני משפחה, ביהמ"ש המחוזי וביהמ"ש העליון לגבי מצבה הרפואי והקוגנטיבי של המנוחה; מסקנות נשוא פסק הדין במסגרת תיק האפוטרופסות א"פ 68383-03-16 שהתנהל עד סמוך למותה".</w:t>
      </w:r>
    </w:p>
    <w:p w:rsidR="005F02DE" w:rsidRDefault="005F02DE" w:rsidP="005F02DE">
      <w:pPr>
        <w:spacing w:line="360" w:lineRule="auto"/>
        <w:jc w:val="both"/>
        <w:rPr>
          <w:rFonts w:ascii="David" w:hAnsi="David"/>
          <w:b/>
          <w:bCs/>
          <w:rtl/>
        </w:rPr>
      </w:pPr>
    </w:p>
    <w:p w:rsidR="005F02DE" w:rsidRDefault="005F02DE" w:rsidP="005F02DE">
      <w:pPr>
        <w:spacing w:line="360" w:lineRule="auto"/>
        <w:jc w:val="both"/>
        <w:rPr>
          <w:rFonts w:ascii="David" w:hAnsi="David"/>
          <w:b/>
          <w:bCs/>
          <w:u w:val="single"/>
          <w:rtl/>
        </w:rPr>
      </w:pPr>
      <w:r>
        <w:rPr>
          <w:rFonts w:ascii="David" w:hAnsi="David"/>
          <w:b/>
          <w:bCs/>
          <w:u w:val="single"/>
          <w:rtl/>
        </w:rPr>
        <w:t>דיון והכרעה</w:t>
      </w:r>
    </w:p>
    <w:p w:rsidR="005F02DE" w:rsidRDefault="005F02DE" w:rsidP="005F02DE">
      <w:pPr>
        <w:spacing w:line="360" w:lineRule="auto"/>
        <w:jc w:val="both"/>
        <w:rPr>
          <w:rFonts w:ascii="David" w:hAnsi="David"/>
          <w:rtl/>
        </w:rPr>
      </w:pPr>
    </w:p>
    <w:p w:rsidR="005F02DE" w:rsidRDefault="005F02DE" w:rsidP="005F02DE">
      <w:pPr>
        <w:spacing w:line="360" w:lineRule="auto"/>
        <w:jc w:val="both"/>
        <w:rPr>
          <w:rFonts w:ascii="David" w:hAnsi="David"/>
          <w:rtl/>
        </w:rPr>
      </w:pPr>
      <w:r>
        <w:rPr>
          <w:rFonts w:ascii="David" w:hAnsi="David"/>
          <w:rtl/>
        </w:rPr>
        <w:t>לאחר עיון בבקשת רשות הערעור ובנספחיה מצאתי לדחותה ללא צורך בקבלת תשובה.</w:t>
      </w:r>
    </w:p>
    <w:p w:rsidR="005F02DE" w:rsidRDefault="005F02DE" w:rsidP="005F02DE">
      <w:pPr>
        <w:spacing w:line="360" w:lineRule="auto"/>
        <w:jc w:val="both"/>
        <w:rPr>
          <w:rFonts w:ascii="David" w:hAnsi="David"/>
          <w:rtl/>
        </w:rPr>
      </w:pPr>
    </w:p>
    <w:p w:rsidR="005F02DE" w:rsidRDefault="005F02DE" w:rsidP="005F02DE">
      <w:pPr>
        <w:spacing w:line="360" w:lineRule="auto"/>
        <w:jc w:val="both"/>
        <w:rPr>
          <w:rFonts w:asciiTheme="minorHAnsi" w:hAnsiTheme="minorHAnsi" w:cstheme="minorBidi"/>
          <w:sz w:val="22"/>
          <w:szCs w:val="22"/>
          <w:rtl/>
        </w:rPr>
      </w:pPr>
      <w:r>
        <w:rPr>
          <w:rFonts w:ascii="David" w:hAnsi="David"/>
          <w:rtl/>
        </w:rPr>
        <w:t xml:space="preserve">סבורני כי דין הבקשה להידחות על הסף. </w:t>
      </w:r>
      <w:r>
        <w:rPr>
          <w:rFonts w:ascii="David" w:hAnsi="David"/>
          <w:u w:val="single"/>
          <w:rtl/>
        </w:rPr>
        <w:t>ראשית,</w:t>
      </w:r>
      <w:r>
        <w:rPr>
          <w:rFonts w:ascii="David" w:hAnsi="David"/>
          <w:rtl/>
        </w:rPr>
        <w:t xml:space="preserve"> לאור האיחור בהגשתה, שכן ככל שהיו למבקשות השגות כלפי העדים אותם ביקש המשיב להעיד היה עליהן לשטוח אותן לפני ביהמ"ש קמא עוד בשלב בו הגיש המשיב את רשימת עדיו (בחודש אוקטובר 2020), טרם שלב ההוכחות, ולא כעת בעקבות בקשת המשיב שנועדה אך להבטיח את התייצבות העדים לדיוני ההוכחות שנקבעו. </w:t>
      </w:r>
      <w:r>
        <w:rPr>
          <w:rFonts w:ascii="David" w:hAnsi="David"/>
          <w:u w:val="single"/>
          <w:rtl/>
        </w:rPr>
        <w:t xml:space="preserve">ושנית, </w:t>
      </w:r>
      <w:r>
        <w:rPr>
          <w:rFonts w:ascii="David" w:hAnsi="David"/>
          <w:rtl/>
        </w:rPr>
        <w:t>משעל פני הדברים החלטת ביהמ"ש קמא הנעתרת לבקשת המשיב לזימון העדים באה בגדר ההחלטות אשר לא תינתן בהן רשות ערעור לפי </w:t>
      </w:r>
      <w:r>
        <w:rPr>
          <w:rtl/>
        </w:rPr>
        <w:t>סעיף 1</w:t>
      </w:r>
      <w:r>
        <w:rPr>
          <w:rFonts w:ascii="David" w:hAnsi="David"/>
        </w:rPr>
        <w:t xml:space="preserve"> (5) </w:t>
      </w:r>
      <w:r>
        <w:rPr>
          <w:rFonts w:ascii="David" w:hAnsi="David"/>
          <w:rtl/>
        </w:rPr>
        <w:t>ל</w:t>
      </w:r>
      <w:r>
        <w:rPr>
          <w:rtl/>
        </w:rPr>
        <w:t>צו בתי המשפט (סוגי החלטות שלא תינתן בהן רשות ערעור)</w:t>
      </w:r>
      <w:r>
        <w:rPr>
          <w:rFonts w:ascii="David" w:hAnsi="David"/>
        </w:rPr>
        <w:t xml:space="preserve">, </w:t>
      </w:r>
      <w:r>
        <w:rPr>
          <w:rFonts w:ascii="David" w:hAnsi="David"/>
          <w:rtl/>
        </w:rPr>
        <w:t>התשס"ט-2009</w:t>
      </w:r>
      <w:r>
        <w:rPr>
          <w:rtl/>
        </w:rPr>
        <w:t xml:space="preserve"> (להלן: "</w:t>
      </w:r>
      <w:r>
        <w:rPr>
          <w:b/>
          <w:bCs/>
          <w:rtl/>
        </w:rPr>
        <w:t>הצו</w:t>
      </w:r>
      <w:r>
        <w:rPr>
          <w:rtl/>
        </w:rPr>
        <w:t>").</w:t>
      </w:r>
    </w:p>
    <w:p w:rsidR="005F02DE" w:rsidRDefault="005F02DE" w:rsidP="005F02DE">
      <w:pPr>
        <w:spacing w:line="360" w:lineRule="auto"/>
        <w:jc w:val="both"/>
        <w:rPr>
          <w:rFonts w:ascii="David" w:hAnsi="David"/>
          <w:rtl/>
        </w:rPr>
      </w:pPr>
    </w:p>
    <w:p w:rsidR="005F02DE" w:rsidRDefault="005F02DE" w:rsidP="005F02DE">
      <w:pPr>
        <w:spacing w:line="360" w:lineRule="auto"/>
        <w:jc w:val="both"/>
        <w:rPr>
          <w:rFonts w:ascii="David" w:hAnsi="David"/>
          <w:rtl/>
        </w:rPr>
      </w:pPr>
      <w:r>
        <w:rPr>
          <w:rFonts w:ascii="David" w:hAnsi="David"/>
          <w:rtl/>
        </w:rPr>
        <w:t>מכל מקום, גם אם אתעלם מהמועד בו הגישו המבקשות את השגותיהן בעניין זה ומהוראות הצו, גם לגופם של דברים לא מצאתי מקום לתת רשות ערעור. כידוע, החלטות בעניין זימון עדים הן החלטות דיוניות מובהקות, המצויות בליבת שיקול דעתה של הערכאה הדיונית, ולכן, לא בנקל תתערב בהן ערכאת הערעור (ראו</w:t>
      </w:r>
      <w:r>
        <w:rPr>
          <w:rFonts w:ascii="David" w:hAnsi="David"/>
        </w:rPr>
        <w:t>: </w:t>
      </w:r>
      <w:r>
        <w:rPr>
          <w:rFonts w:ascii="David" w:hAnsi="David"/>
          <w:rtl/>
        </w:rPr>
        <w:t xml:space="preserve"> </w:t>
      </w:r>
      <w:r>
        <w:rPr>
          <w:rFonts w:ascii="David" w:hAnsi="David" w:hint="cs"/>
          <w:rtl/>
        </w:rPr>
        <w:t>רע"א 7695/16</w:t>
      </w:r>
      <w:r>
        <w:rPr>
          <w:rFonts w:ascii="David" w:hAnsi="David"/>
        </w:rPr>
        <w:t> </w:t>
      </w:r>
      <w:r>
        <w:rPr>
          <w:rFonts w:ascii="David" w:hAnsi="David"/>
          <w:b/>
          <w:bCs/>
          <w:u w:val="single"/>
          <w:rtl/>
        </w:rPr>
        <w:t>מלון רוטשילד בע"מ נ' אומרו צ.ע יזמות ופיקוח בע"מ</w:t>
      </w:r>
      <w:r>
        <w:rPr>
          <w:rFonts w:ascii="David" w:hAnsi="David"/>
          <w:rtl/>
        </w:rPr>
        <w:t xml:space="preserve">, פורסם בנבו , 8.3.17; </w:t>
      </w:r>
      <w:r>
        <w:rPr>
          <w:rFonts w:ascii="David" w:hAnsi="David"/>
        </w:rPr>
        <w:t> </w:t>
      </w:r>
      <w:r>
        <w:rPr>
          <w:rFonts w:ascii="David" w:hAnsi="David"/>
          <w:rtl/>
        </w:rPr>
        <w:t>רע"א 3854/18</w:t>
      </w:r>
      <w:r>
        <w:rPr>
          <w:rFonts w:ascii="David" w:hAnsi="David"/>
        </w:rPr>
        <w:t> </w:t>
      </w:r>
      <w:r>
        <w:rPr>
          <w:rFonts w:ascii="David" w:hAnsi="David"/>
          <w:b/>
          <w:bCs/>
          <w:u w:val="single"/>
          <w:rtl/>
        </w:rPr>
        <w:t>נחיאסי נ' פקיד שומה גוש דן</w:t>
      </w:r>
      <w:r>
        <w:rPr>
          <w:rFonts w:ascii="David" w:hAnsi="David"/>
        </w:rPr>
        <w:t xml:space="preserve"> 18.6.2018 </w:t>
      </w:r>
      <w:r>
        <w:rPr>
          <w:rFonts w:ascii="David" w:hAnsi="David"/>
          <w:rtl/>
        </w:rPr>
        <w:t>פורסם בנבו</w:t>
      </w:r>
      <w:r>
        <w:rPr>
          <w:rFonts w:ascii="David" w:hAnsi="David"/>
        </w:rPr>
        <w:t>;  </w:t>
      </w:r>
      <w:r>
        <w:rPr>
          <w:rFonts w:ascii="David" w:hAnsi="David"/>
          <w:rtl/>
        </w:rPr>
        <w:t>רע</w:t>
      </w:r>
      <w:r>
        <w:rPr>
          <w:rFonts w:ascii="David" w:hAnsi="David"/>
        </w:rPr>
        <w:t>"</w:t>
      </w:r>
      <w:r>
        <w:rPr>
          <w:rFonts w:ascii="David" w:hAnsi="David"/>
          <w:rtl/>
        </w:rPr>
        <w:t>א 8317/18</w:t>
      </w:r>
      <w:r>
        <w:rPr>
          <w:rFonts w:ascii="David" w:hAnsi="David"/>
        </w:rPr>
        <w:t> </w:t>
      </w:r>
      <w:r>
        <w:rPr>
          <w:rFonts w:ascii="David" w:hAnsi="David"/>
          <w:b/>
          <w:bCs/>
          <w:u w:val="single"/>
          <w:rtl/>
        </w:rPr>
        <w:t>פלוני נ' בית חולים הסהר האדום</w:t>
      </w:r>
      <w:r>
        <w:rPr>
          <w:rFonts w:ascii="David" w:hAnsi="David"/>
          <w:rtl/>
        </w:rPr>
        <w:t>, פורסם בנבו 10.1.2019 והאסמכתאות שם). איני סבור כי מקרה זה נמנה עם אותם מקרים חריגים המצדיקים התערבות. כידוע, כשרות לצוות קיימת לכל מי שאינו קטין, הוכרז פסול דין או שיודע להבחין בטיבה של צוואה ( ס' 26 לחוק ירושה, תשכ"ה -1965). הכרזתו של אדם כפסול דין מהווה אחת מהעילות למינוי אפוטרופוס עליו ( זאת מכוח הוראת סעיף 33(א)(3) לחוק הכשרות) אך לא כל אדם שמונה לו אפוטרופוס הוא פסול-דין. בעניינו, מינוי אפוטרופוס נעשה מכוח סעיף 33א(4) לחוק הכשרות למנוחה כ "</w:t>
      </w:r>
      <w:r>
        <w:rPr>
          <w:rFonts w:ascii="David" w:hAnsi="David"/>
          <w:b/>
          <w:bCs/>
          <w:rtl/>
        </w:rPr>
        <w:t xml:space="preserve">אדם אחר שאינו יכול, דרך קבע או </w:t>
      </w:r>
      <w:r>
        <w:rPr>
          <w:rFonts w:ascii="David" w:hAnsi="David"/>
          <w:b/>
          <w:bCs/>
          <w:rtl/>
        </w:rPr>
        <w:lastRenderedPageBreak/>
        <w:t>דרך ארעי, לדאוג לעניניו, כולם או מקצתם, ואין מי שמוסמך ומוכן לדאוג להם במקומו"</w:t>
      </w:r>
      <w:r>
        <w:rPr>
          <w:rFonts w:ascii="David" w:hAnsi="David"/>
          <w:rtl/>
        </w:rPr>
        <w:t>. ביהמ"ש המחוזי שדן בערעור המנוחה על פסק-דינו של בית המשפט קמא (השופטת גליק) בהליך האפוטרופסות אישר את המינוי מכוח הסעיף האמור "</w:t>
      </w:r>
      <w:r>
        <w:rPr>
          <w:rFonts w:ascii="David" w:hAnsi="David"/>
          <w:b/>
          <w:bCs/>
          <w:rtl/>
        </w:rPr>
        <w:t xml:space="preserve">משהוכח בפני בית משפט קמא שהמערערת אינה מטפלת בענייניה (לא הרכושיים ולא הגופניים) וכשהיא תלויה לחלוטין בסובבים אותה (כיום האחיין) כשאין צורך להוכיח פסלות משפטית מבחינה נפשית או שכלית ודי להוכיח כי החסוי אינו יכול לדואג לעניינו מכל סיבה שהיא" </w:t>
      </w:r>
      <w:r>
        <w:rPr>
          <w:rFonts w:ascii="David" w:hAnsi="David"/>
          <w:rtl/>
        </w:rPr>
        <w:t>(ס' 48 לפס"ד של כב' השופט ורדי). ככל שהעדים מטעם המשיב יעידו בביהמ"ש קמא עדויות שהמבקשות יסברו שהן עומדות בסתירה להכרעות שכבר ניתנו בפלוגתאות שעלו בהליך האפוטרופסות באופן המקים לגישתן "השתק פלוגתא" יתכבדו ויסבירו בסיכומיהם בהליך המתנהל בביהמ"ש קמא את התקיימות התנאים להקמת ההשתק, המקים לגישתן את אותו מחסום דיוני למשיב מלהסתמך עליהן.  בבקשת רשות הערעור שלפניי המבקשות אינן טוענות כי הגישו לפני ביהמ"ש קמא בקשה לסילוק הבקשה לקיום הצוואה ולקבלת התנגדותן לצוואה מטעמים של "השתק פלוגתא" ולא נטען על-ידן כי היה מקום לייתר את הליך ההוכחות. די בכך כדי להגיע למסקנה כי גם אם לא היה מקום לדחות את בקשת רשות הערעור על הסף, אין מקום להיעתר לה ולבחון כעת השגות המבקשות הנוגעות לזימון העדים, משאין בהחלטה מושא הבר"ע כדי להשפיע באופן ממשי על זכויות המבקשות, לגרום להן נזק של ממש, או להביא לניהולו של הליך מיותר או בדרך שגויה (ראו סעיף 41(ב)</w:t>
      </w:r>
      <w:r>
        <w:rPr>
          <w:rFonts w:ascii="David" w:hAnsi="David"/>
        </w:rPr>
        <w:t> </w:t>
      </w:r>
      <w:r>
        <w:rPr>
          <w:rFonts w:ascii="David" w:hAnsi="David"/>
          <w:rtl/>
        </w:rPr>
        <w:t>לחוק בתי המשפט</w:t>
      </w:r>
      <w:r>
        <w:rPr>
          <w:rFonts w:ascii="David" w:hAnsi="David"/>
        </w:rPr>
        <w:t> </w:t>
      </w:r>
      <w:r>
        <w:rPr>
          <w:rFonts w:ascii="David" w:hAnsi="David"/>
          <w:rtl/>
        </w:rPr>
        <w:t>[נוסח משולב], התשמ"ד-1984).</w:t>
      </w:r>
    </w:p>
    <w:p w:rsidR="005F02DE" w:rsidRDefault="005F02DE" w:rsidP="005F02DE">
      <w:pPr>
        <w:spacing w:line="360" w:lineRule="auto"/>
        <w:jc w:val="both"/>
        <w:rPr>
          <w:rFonts w:ascii="David" w:hAnsi="David"/>
          <w:rtl/>
        </w:rPr>
      </w:pPr>
    </w:p>
    <w:p w:rsidR="005F02DE" w:rsidRDefault="005F02DE" w:rsidP="005F02DE">
      <w:pPr>
        <w:spacing w:line="360" w:lineRule="auto"/>
        <w:jc w:val="both"/>
        <w:rPr>
          <w:rFonts w:ascii="David" w:hAnsi="David"/>
          <w:b/>
          <w:bCs/>
          <w:u w:val="single"/>
          <w:rtl/>
        </w:rPr>
      </w:pPr>
      <w:r>
        <w:rPr>
          <w:rFonts w:ascii="David" w:hAnsi="David"/>
          <w:b/>
          <w:bCs/>
          <w:u w:val="single"/>
          <w:rtl/>
        </w:rPr>
        <w:t>סוף דבר</w:t>
      </w:r>
    </w:p>
    <w:p w:rsidR="005F02DE" w:rsidRDefault="005F02DE" w:rsidP="005F02DE">
      <w:pPr>
        <w:spacing w:line="360" w:lineRule="auto"/>
        <w:jc w:val="both"/>
        <w:rPr>
          <w:rFonts w:ascii="David" w:hAnsi="David"/>
          <w:rtl/>
        </w:rPr>
      </w:pPr>
    </w:p>
    <w:p w:rsidR="005F02DE" w:rsidRDefault="005F02DE" w:rsidP="005F02DE">
      <w:pPr>
        <w:spacing w:line="360" w:lineRule="auto"/>
        <w:jc w:val="both"/>
        <w:rPr>
          <w:rFonts w:ascii="David" w:hAnsi="David"/>
          <w:rtl/>
        </w:rPr>
      </w:pPr>
      <w:r>
        <w:rPr>
          <w:rFonts w:ascii="David" w:hAnsi="David"/>
          <w:rtl/>
        </w:rPr>
        <w:t>לאור על האמור לעיל, בקשת רשות הערעור נדחית.</w:t>
      </w:r>
    </w:p>
    <w:p w:rsidR="005F02DE" w:rsidRDefault="005F02DE" w:rsidP="005F02DE">
      <w:pPr>
        <w:spacing w:line="360" w:lineRule="auto"/>
        <w:jc w:val="both"/>
        <w:rPr>
          <w:rFonts w:ascii="David" w:hAnsi="David"/>
          <w:rtl/>
        </w:rPr>
      </w:pPr>
      <w:r>
        <w:rPr>
          <w:rFonts w:ascii="David" w:hAnsi="David"/>
          <w:rtl/>
        </w:rPr>
        <w:t>משלא התבקשה תשובה – אין צו להוצאות.</w:t>
      </w:r>
    </w:p>
    <w:p w:rsidR="005F02DE" w:rsidRDefault="005F02DE" w:rsidP="005F02DE">
      <w:pPr>
        <w:spacing w:line="360" w:lineRule="auto"/>
        <w:jc w:val="both"/>
        <w:rPr>
          <w:rFonts w:ascii="David" w:hAnsi="David"/>
          <w:rtl/>
        </w:rPr>
      </w:pPr>
    </w:p>
    <w:p w:rsidR="005F02DE" w:rsidRDefault="005F02DE" w:rsidP="005F02DE">
      <w:pPr>
        <w:spacing w:line="360" w:lineRule="auto"/>
        <w:jc w:val="both"/>
        <w:rPr>
          <w:rFonts w:ascii="David" w:hAnsi="David"/>
          <w:rtl/>
        </w:rPr>
      </w:pPr>
      <w:r>
        <w:rPr>
          <w:rFonts w:ascii="David" w:hAnsi="David"/>
          <w:rtl/>
        </w:rPr>
        <w:t>העירבון, על פירותיו, יושב למבקשות באמצעות בא כוחן.</w:t>
      </w:r>
    </w:p>
    <w:p w:rsidR="005F02DE" w:rsidRDefault="005F02DE" w:rsidP="005F02DE">
      <w:pPr>
        <w:spacing w:line="360" w:lineRule="auto"/>
        <w:jc w:val="both"/>
        <w:rPr>
          <w:rFonts w:ascii="David" w:hAnsi="David"/>
          <w:rtl/>
        </w:rPr>
      </w:pPr>
    </w:p>
    <w:p w:rsidR="005F02DE" w:rsidRDefault="005F02DE" w:rsidP="005F02DE">
      <w:pPr>
        <w:spacing w:line="360" w:lineRule="auto"/>
        <w:jc w:val="both"/>
        <w:rPr>
          <w:rFonts w:ascii="David" w:hAnsi="David"/>
          <w:rtl/>
        </w:rPr>
      </w:pPr>
      <w:r>
        <w:rPr>
          <w:rFonts w:ascii="David" w:hAnsi="David"/>
          <w:rtl/>
        </w:rPr>
        <w:t>מתיר פרסום ההחלטה במתכונת בה נחתמה, בהיעדר שמות הצדדים ופרטים מזהים אחרים.</w:t>
      </w:r>
    </w:p>
    <w:p w:rsidR="005F02DE" w:rsidRDefault="005F02DE" w:rsidP="005F02DE">
      <w:pPr>
        <w:spacing w:line="360" w:lineRule="auto"/>
        <w:jc w:val="both"/>
        <w:rPr>
          <w:rFonts w:ascii="David" w:hAnsi="David"/>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כ"ו ניסן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17 אפריל 2023</w:t>
          </w:r>
        </w:sdtContent>
      </w:sdt>
      <w:r w:rsidR="00005C8B">
        <w:rPr>
          <w:rFonts w:ascii="Arial" w:hAnsi="Arial"/>
          <w:noProof w:val="0"/>
          <w:rtl/>
        </w:rPr>
        <w:t>, בהעדר הצדדים.</w:t>
      </w:r>
    </w:p>
    <w:p w:rsidR="00C43648" w:rsidRDefault="00637636" w:rsidP="00C43648">
      <w:pPr>
        <w:tabs>
          <w:tab w:val="left" w:pos="2553"/>
        </w:tabs>
        <w:ind w:left="5040"/>
        <w:rPr>
          <w:rtl/>
        </w:rPr>
      </w:pPr>
      <w:sdt>
        <w:sdtPr>
          <w:rPr>
            <w:rFonts w:hint="cs"/>
            <w:rtl/>
          </w:rPr>
          <w:alias w:val="2045"/>
          <w:tag w:val="2045"/>
          <w:id w:val="740689340"/>
          <w:placeholder>
            <w:docPart w:val="31A2FECC5BD94B898A0F6A0393D81C94"/>
          </w:placeholder>
          <w:showingPlcHdr/>
          <w:text w:multiLine="1"/>
        </w:sdtPr>
        <w:sdtEndPr/>
        <w:sdtContent>
          <w:r w:rsidR="00C43648">
            <w:rPr>
              <w:rFonts w:hint="cs"/>
              <w:rtl/>
            </w:rPr>
            <w:t xml:space="preserve">     </w:t>
          </w:r>
        </w:sdtContent>
      </w:sdt>
    </w:p>
    <w:p w:rsidR="00694556" w:rsidRDefault="00637636" w:rsidP="00C43648">
      <w:pPr>
        <w:tabs>
          <w:tab w:val="left" w:pos="2553"/>
        </w:tabs>
        <w:ind w:left="5040"/>
      </w:pPr>
      <w:sdt>
        <w:sdtPr>
          <w:rPr>
            <w:rtl/>
          </w:rPr>
          <w:alias w:val="MergeField"/>
          <w:tag w:val="1237"/>
          <w:id w:val="-253056729"/>
        </w:sdtPr>
        <w:sdtEndPr/>
        <w:sdtContent>
          <w:r w:rsidR="004B5294">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755648" cy="443484"/>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default" r:id="rId8"/>
      <w:footerReference w:type="default" r:id="rId9"/>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636" w:rsidRDefault="00637636">
      <w:r>
        <w:separator/>
      </w:r>
    </w:p>
  </w:endnote>
  <w:endnote w:type="continuationSeparator" w:id="0">
    <w:p w:rsidR="00637636" w:rsidRDefault="00637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2226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2226F">
      <w:rPr>
        <w:rStyle w:val="ab"/>
        <w:rtl/>
      </w:rPr>
      <w:t>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636" w:rsidRDefault="00637636">
      <w:r>
        <w:separator/>
      </w:r>
    </w:p>
  </w:footnote>
  <w:footnote w:type="continuationSeparator" w:id="0">
    <w:p w:rsidR="00637636" w:rsidRDefault="00637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18B72344" wp14:editId="44D094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2E5258" w:rsidRDefault="003D1C8C" w:rsidP="003230C7">
              <w:pPr>
                <w:pStyle w:val="a3"/>
                <w:jc w:val="center"/>
                <w:rPr>
                  <w:rFonts w:ascii="Tahoma" w:hAnsi="Tahoma"/>
                  <w:noProof w:val="0"/>
                  <w:color w:val="000080"/>
                  <w:sz w:val="32"/>
                  <w:szCs w:val="32"/>
                  <w:rtl/>
                </w:rPr>
              </w:pPr>
              <w:r w:rsidRPr="002E5258">
                <w:rPr>
                  <w:rFonts w:ascii="Tahoma" w:hAnsi="Tahoma"/>
                  <w:b/>
                  <w:bCs/>
                  <w:color w:val="000080"/>
                  <w:sz w:val="32"/>
                  <w:szCs w:val="32"/>
                  <w:rtl/>
                </w:rPr>
                <w:t>בית המשפט המחוזי בתל אביב - יפו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637636" w:rsidP="005F02DE">
          <w:pPr>
            <w:rPr>
              <w:b/>
              <w:bCs/>
              <w:noProof w:val="0"/>
              <w:sz w:val="26"/>
              <w:szCs w:val="26"/>
              <w:rtl/>
            </w:rPr>
          </w:pPr>
          <w:sdt>
            <w:sdtPr>
              <w:rPr>
                <w:rtl/>
              </w:rPr>
              <w:alias w:val="1170"/>
              <w:tag w:val="1170"/>
              <w:id w:val="1066377040"/>
              <w:text w:multiLine="1"/>
            </w:sdtPr>
            <w:sdtEndPr/>
            <w:sdtContent>
              <w:r w:rsidR="00750A2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750A27">
                <w:rPr>
                  <w:b/>
                  <w:bCs/>
                  <w:noProof w:val="0"/>
                  <w:sz w:val="26"/>
                  <w:szCs w:val="26"/>
                  <w:rtl/>
                </w:rPr>
                <w:t>18633-03-23</w:t>
              </w:r>
            </w:sdtContent>
          </w:sdt>
          <w:r w:rsidR="00005C8B">
            <w:rPr>
              <w:b/>
              <w:bCs/>
              <w:noProof w:val="0"/>
              <w:sz w:val="26"/>
              <w:szCs w:val="26"/>
              <w:rtl/>
            </w:rPr>
            <w:t xml:space="preserve"> </w:t>
          </w:r>
          <w:sdt>
            <w:sdtPr>
              <w:rPr>
                <w:rtl/>
              </w:rPr>
              <w:alias w:val="1172"/>
              <w:tag w:val="1172"/>
              <w:id w:val="-595170033"/>
              <w:text w:multiLine="1"/>
            </w:sdtPr>
            <w:sdtEndPr/>
            <w:sdtContent>
              <w:r w:rsidR="005F02DE">
                <w:rPr>
                  <w:rFonts w:hint="cs"/>
                  <w:b/>
                  <w:bCs/>
                  <w:noProof w:val="0"/>
                  <w:sz w:val="26"/>
                  <w:szCs w:val="26"/>
                  <w:rtl/>
                </w:rPr>
                <w:t>פלונית ואח' נ' פלוני</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51619777"/>
              <w:text w:multiLine="1"/>
            </w:sdtPr>
            <w:sdtEndPr/>
            <w:sdtContent/>
          </w:sdt>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47973"/>
    <w:rsid w:val="000564AB"/>
    <w:rsid w:val="00064FBD"/>
    <w:rsid w:val="00082AB2"/>
    <w:rsid w:val="00096AF7"/>
    <w:rsid w:val="000B344B"/>
    <w:rsid w:val="000C3B0F"/>
    <w:rsid w:val="000C3B60"/>
    <w:rsid w:val="000E3AF1"/>
    <w:rsid w:val="000F0BC8"/>
    <w:rsid w:val="000F0DD6"/>
    <w:rsid w:val="00107E6D"/>
    <w:rsid w:val="0011194C"/>
    <w:rsid w:val="0011424C"/>
    <w:rsid w:val="001367BC"/>
    <w:rsid w:val="00144D2A"/>
    <w:rsid w:val="0014653E"/>
    <w:rsid w:val="00180519"/>
    <w:rsid w:val="00191C82"/>
    <w:rsid w:val="001C4003"/>
    <w:rsid w:val="001D4DBF"/>
    <w:rsid w:val="001E75CA"/>
    <w:rsid w:val="002265FF"/>
    <w:rsid w:val="002450EA"/>
    <w:rsid w:val="002C344E"/>
    <w:rsid w:val="002E5258"/>
    <w:rsid w:val="00307A6A"/>
    <w:rsid w:val="00307C40"/>
    <w:rsid w:val="00320433"/>
    <w:rsid w:val="003230C7"/>
    <w:rsid w:val="00327CB2"/>
    <w:rsid w:val="00327E50"/>
    <w:rsid w:val="0033597A"/>
    <w:rsid w:val="00362612"/>
    <w:rsid w:val="0036743F"/>
    <w:rsid w:val="003715DD"/>
    <w:rsid w:val="003823E0"/>
    <w:rsid w:val="003A4521"/>
    <w:rsid w:val="003D1C8C"/>
    <w:rsid w:val="0040096C"/>
    <w:rsid w:val="00414F1F"/>
    <w:rsid w:val="0043125D"/>
    <w:rsid w:val="0043502B"/>
    <w:rsid w:val="004443AC"/>
    <w:rsid w:val="004B5294"/>
    <w:rsid w:val="004C4BDF"/>
    <w:rsid w:val="004D1187"/>
    <w:rsid w:val="004E1987"/>
    <w:rsid w:val="004E2E15"/>
    <w:rsid w:val="004E4BA7"/>
    <w:rsid w:val="004E6E3C"/>
    <w:rsid w:val="004F14F0"/>
    <w:rsid w:val="00520898"/>
    <w:rsid w:val="00524986"/>
    <w:rsid w:val="005268F6"/>
    <w:rsid w:val="00547DB7"/>
    <w:rsid w:val="005F02DE"/>
    <w:rsid w:val="005F4F09"/>
    <w:rsid w:val="0061431B"/>
    <w:rsid w:val="00622BAA"/>
    <w:rsid w:val="006306CF"/>
    <w:rsid w:val="00637636"/>
    <w:rsid w:val="00644E9A"/>
    <w:rsid w:val="00671BD5"/>
    <w:rsid w:val="006805C1"/>
    <w:rsid w:val="00686C21"/>
    <w:rsid w:val="006931C1"/>
    <w:rsid w:val="00694556"/>
    <w:rsid w:val="006D3B31"/>
    <w:rsid w:val="006E1A53"/>
    <w:rsid w:val="006F678A"/>
    <w:rsid w:val="00704EDA"/>
    <w:rsid w:val="00721122"/>
    <w:rsid w:val="00740A8F"/>
    <w:rsid w:val="00750A27"/>
    <w:rsid w:val="00753019"/>
    <w:rsid w:val="00795365"/>
    <w:rsid w:val="007E6115"/>
    <w:rsid w:val="007F4609"/>
    <w:rsid w:val="008026ED"/>
    <w:rsid w:val="008176A1"/>
    <w:rsid w:val="00820005"/>
    <w:rsid w:val="00844318"/>
    <w:rsid w:val="008659F2"/>
    <w:rsid w:val="00870890"/>
    <w:rsid w:val="00873602"/>
    <w:rsid w:val="00875D12"/>
    <w:rsid w:val="00896889"/>
    <w:rsid w:val="008B6A2E"/>
    <w:rsid w:val="008C5714"/>
    <w:rsid w:val="008D10B2"/>
    <w:rsid w:val="00903896"/>
    <w:rsid w:val="00906F3D"/>
    <w:rsid w:val="0094424E"/>
    <w:rsid w:val="009605B3"/>
    <w:rsid w:val="009622DF"/>
    <w:rsid w:val="00967DFF"/>
    <w:rsid w:val="00994341"/>
    <w:rsid w:val="009A376F"/>
    <w:rsid w:val="009D46A2"/>
    <w:rsid w:val="009D7E8E"/>
    <w:rsid w:val="009F323C"/>
    <w:rsid w:val="00A125FF"/>
    <w:rsid w:val="00A3392B"/>
    <w:rsid w:val="00A40B04"/>
    <w:rsid w:val="00A84F27"/>
    <w:rsid w:val="00A94B64"/>
    <w:rsid w:val="00AA3229"/>
    <w:rsid w:val="00AA7596"/>
    <w:rsid w:val="00AB5E52"/>
    <w:rsid w:val="00AC3B02"/>
    <w:rsid w:val="00AC3B7B"/>
    <w:rsid w:val="00AC5209"/>
    <w:rsid w:val="00AD3AD9"/>
    <w:rsid w:val="00AE7752"/>
    <w:rsid w:val="00AF7FDA"/>
    <w:rsid w:val="00B80CBD"/>
    <w:rsid w:val="00B86096"/>
    <w:rsid w:val="00BA517C"/>
    <w:rsid w:val="00BB3D05"/>
    <w:rsid w:val="00BB73BE"/>
    <w:rsid w:val="00BE05B2"/>
    <w:rsid w:val="00BF1908"/>
    <w:rsid w:val="00C22D93"/>
    <w:rsid w:val="00C243F7"/>
    <w:rsid w:val="00C31120"/>
    <w:rsid w:val="00C34482"/>
    <w:rsid w:val="00C43648"/>
    <w:rsid w:val="00C50A9F"/>
    <w:rsid w:val="00C642FA"/>
    <w:rsid w:val="00C83000"/>
    <w:rsid w:val="00CC7622"/>
    <w:rsid w:val="00D27982"/>
    <w:rsid w:val="00D33B86"/>
    <w:rsid w:val="00D53924"/>
    <w:rsid w:val="00D55D0C"/>
    <w:rsid w:val="00D96D8C"/>
    <w:rsid w:val="00DA4E55"/>
    <w:rsid w:val="00DA6649"/>
    <w:rsid w:val="00DC1259"/>
    <w:rsid w:val="00DC2571"/>
    <w:rsid w:val="00DC487C"/>
    <w:rsid w:val="00DE6BF6"/>
    <w:rsid w:val="00E2226F"/>
    <w:rsid w:val="00E25884"/>
    <w:rsid w:val="00E31C2B"/>
    <w:rsid w:val="00E5426A"/>
    <w:rsid w:val="00E54642"/>
    <w:rsid w:val="00E90BA2"/>
    <w:rsid w:val="00EB61B1"/>
    <w:rsid w:val="00EC37E9"/>
    <w:rsid w:val="00EE32E3"/>
    <w:rsid w:val="00F06995"/>
    <w:rsid w:val="00F13623"/>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26F806-1D90-4F9F-AABD-DA8A6FA1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45189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2FECC5BD94B898A0F6A0393D81C94"/>
        <w:category>
          <w:name w:val="כללי"/>
          <w:gallery w:val="placeholder"/>
        </w:category>
        <w:types>
          <w:type w:val="bbPlcHdr"/>
        </w:types>
        <w:behaviors>
          <w:behavior w:val="content"/>
        </w:behaviors>
        <w:guid w:val="{F817939E-5B5E-4A2E-A7DD-7791232255C3}"/>
      </w:docPartPr>
      <w:docPartBody>
        <w:p w:rsidR="005C53BE" w:rsidRDefault="00E47963" w:rsidP="00E47963">
          <w:pPr>
            <w:pStyle w:val="31A2FECC5BD94B898A0F6A0393D81C94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A370D"/>
    <w:rsid w:val="00410E40"/>
    <w:rsid w:val="005C53BE"/>
    <w:rsid w:val="007620C7"/>
    <w:rsid w:val="008A1B90"/>
    <w:rsid w:val="009133C7"/>
    <w:rsid w:val="00914D02"/>
    <w:rsid w:val="00924F53"/>
    <w:rsid w:val="00AA7CE3"/>
    <w:rsid w:val="00CB2C2C"/>
    <w:rsid w:val="00CD521E"/>
    <w:rsid w:val="00E47963"/>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47963"/>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A9C035BE3F0141FA8388CF0435F4AC5D">
    <w:name w:val="A9C035BE3F0141FA8388CF0435F4AC5D"/>
    <w:rsid w:val="00924F53"/>
    <w:pPr>
      <w:bidi/>
      <w:spacing w:after="0" w:line="240" w:lineRule="auto"/>
    </w:pPr>
    <w:rPr>
      <w:rFonts w:ascii="Times New Roman" w:eastAsia="Times New Roman" w:hAnsi="Times New Roman" w:cs="David"/>
      <w:noProof/>
      <w:sz w:val="24"/>
      <w:szCs w:val="24"/>
    </w:rPr>
  </w:style>
  <w:style w:type="paragraph" w:customStyle="1" w:styleId="31A2FECC5BD94B898A0F6A0393D81C94">
    <w:name w:val="31A2FECC5BD94B898A0F6A0393D81C94"/>
    <w:rsid w:val="00CD521E"/>
    <w:pPr>
      <w:bidi/>
      <w:spacing w:after="0" w:line="240" w:lineRule="auto"/>
    </w:pPr>
    <w:rPr>
      <w:rFonts w:ascii="Times New Roman" w:eastAsia="Times New Roman" w:hAnsi="Times New Roman" w:cs="David"/>
      <w:noProof/>
      <w:sz w:val="24"/>
      <w:szCs w:val="24"/>
    </w:rPr>
  </w:style>
  <w:style w:type="paragraph" w:customStyle="1" w:styleId="31A2FECC5BD94B898A0F6A0393D81C941">
    <w:name w:val="31A2FECC5BD94B898A0F6A0393D81C941"/>
    <w:rsid w:val="005C53BE"/>
    <w:pPr>
      <w:bidi/>
      <w:spacing w:after="0" w:line="240" w:lineRule="auto"/>
    </w:pPr>
    <w:rPr>
      <w:rFonts w:ascii="Times New Roman" w:eastAsia="Times New Roman" w:hAnsi="Times New Roman" w:cs="David"/>
      <w:noProof/>
      <w:sz w:val="24"/>
      <w:szCs w:val="24"/>
    </w:rPr>
  </w:style>
  <w:style w:type="paragraph" w:customStyle="1" w:styleId="31A2FECC5BD94B898A0F6A0393D81C942">
    <w:name w:val="31A2FECC5BD94B898A0F6A0393D81C942"/>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3">
    <w:name w:val="31A2FECC5BD94B898A0F6A0393D81C943"/>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4">
    <w:name w:val="31A2FECC5BD94B898A0F6A0393D81C944"/>
    <w:rsid w:val="008A1B90"/>
    <w:pPr>
      <w:bidi/>
      <w:spacing w:after="0" w:line="240" w:lineRule="auto"/>
    </w:pPr>
    <w:rPr>
      <w:rFonts w:ascii="Times New Roman" w:eastAsia="Times New Roman" w:hAnsi="Times New Roman" w:cs="David"/>
      <w:noProof/>
      <w:sz w:val="24"/>
      <w:szCs w:val="24"/>
    </w:rPr>
  </w:style>
  <w:style w:type="paragraph" w:customStyle="1" w:styleId="31A2FECC5BD94B898A0F6A0393D81C945">
    <w:name w:val="31A2FECC5BD94B898A0F6A0393D81C945"/>
    <w:rsid w:val="00410E40"/>
    <w:pPr>
      <w:bidi/>
      <w:spacing w:after="0" w:line="240" w:lineRule="auto"/>
    </w:pPr>
    <w:rPr>
      <w:rFonts w:ascii="Times New Roman" w:eastAsia="Times New Roman" w:hAnsi="Times New Roman" w:cs="David"/>
      <w:noProof/>
      <w:sz w:val="24"/>
      <w:szCs w:val="24"/>
    </w:rPr>
  </w:style>
  <w:style w:type="paragraph" w:customStyle="1" w:styleId="31A2FECC5BD94B898A0F6A0393D81C946">
    <w:name w:val="31A2FECC5BD94B898A0F6A0393D81C946"/>
    <w:rsid w:val="001A370D"/>
    <w:pPr>
      <w:bidi/>
      <w:spacing w:after="0" w:line="240" w:lineRule="auto"/>
    </w:pPr>
    <w:rPr>
      <w:rFonts w:ascii="Times New Roman" w:eastAsia="Times New Roman" w:hAnsi="Times New Roman" w:cs="David"/>
      <w:noProof/>
      <w:sz w:val="24"/>
      <w:szCs w:val="24"/>
    </w:rPr>
  </w:style>
  <w:style w:type="paragraph" w:customStyle="1" w:styleId="31A2FECC5BD94B898A0F6A0393D81C947">
    <w:name w:val="31A2FECC5BD94B898A0F6A0393D81C947"/>
    <w:rsid w:val="00E47963"/>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1031</Words>
  <Characters>5155</Characters>
  <Application>Microsoft Office Word</Application>
  <DocSecurity>0</DocSecurity>
  <Lines>42</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2023-04-20T08:13:00Z</dcterms:created>
  <dcterms:modified xsi:type="dcterms:W3CDTF">2023-04-20T08:13:00Z</dcterms:modified>
</cp:coreProperties>
</file>